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Style w:val="11"/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《中国现代文学》(专升本)考试大纲</w:t>
      </w:r>
    </w:p>
    <w:p>
      <w:pPr>
        <w:jc w:val="left"/>
        <w:rPr>
          <w:rFonts w:ascii="宋体" w:hAnsi="宋体" w:cs="宋体"/>
          <w:b/>
          <w:bCs/>
          <w:color w:val="000000"/>
          <w:shd w:val="clear" w:color="auto" w:fill="FFFFFF"/>
        </w:rPr>
      </w:pPr>
    </w:p>
    <w:p>
      <w:pPr>
        <w:spacing w:line="3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一、课程性质与设置的目的</w:t>
      </w:r>
    </w:p>
    <w:p>
      <w:pPr>
        <w:spacing w:line="360" w:lineRule="exact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《中国现代文学》是汉语言文学专业的一门专业必修课和专业主干课程，是中文专业文学课程的基本组成部分之一。这一课程的教学旨在引导学生掌握中国现代文学的发生、发展脉络，掌握1917年--1949年间中国文学主要的文学思潮、文学活动、文学流派与重要的作家作品，要求学生能对对重要的作家、作品进行阅读、分析与评价。</w:t>
      </w:r>
    </w:p>
    <w:p>
      <w:pPr>
        <w:spacing w:line="360" w:lineRule="exact"/>
        <w:ind w:firstLine="420" w:firstLineChars="200"/>
        <w:rPr>
          <w:bCs/>
          <w:color w:val="333333"/>
        </w:rPr>
      </w:pPr>
      <w:r>
        <w:rPr>
          <w:rStyle w:val="11"/>
          <w:rFonts w:hint="eastAsia"/>
          <w:b w:val="0"/>
          <w:color w:val="333333"/>
        </w:rPr>
        <w:t>课程设置的目的：</w:t>
      </w:r>
      <w:r>
        <w:rPr>
          <w:rStyle w:val="22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使学生了解、掌握中国现代文学三十余年间的发生、发展的基本情况；了解、掌握重要作家与作品，要求学生能用正确的文学观、历史观、价值观来评价相关的文学时间与作家、作品。</w:t>
      </w:r>
    </w:p>
    <w:p>
      <w:pPr>
        <w:numPr>
          <w:ilvl w:val="0"/>
          <w:numId w:val="1"/>
        </w:numPr>
        <w:spacing w:line="360" w:lineRule="exact"/>
        <w:ind w:left="422" w:hanging="422" w:hangingChars="20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考核的基本要求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要求考生能够</w:t>
      </w:r>
      <w:r>
        <w:rPr>
          <w:rFonts w:hint="eastAsia" w:cs="宋体"/>
        </w:rPr>
        <w:t>掌握中国现代文学发展的历史分期、现代性特征和基本发展脉络；</w:t>
      </w:r>
      <w:r>
        <w:rPr>
          <w:rFonts w:hint="eastAsia" w:ascii="宋体" w:hAnsi="宋体" w:cs="宋体"/>
        </w:rPr>
        <w:t>能够掌握</w:t>
      </w:r>
      <w:r>
        <w:rPr>
          <w:rFonts w:hint="eastAsia" w:ascii="宋体" w:hAnsi="宋体" w:cs="宋体"/>
          <w:color w:val="000000"/>
          <w:shd w:val="clear" w:color="auto" w:fill="FFFFFF"/>
        </w:rPr>
        <w:t>重要的文学流派和文学团体及其理论主张和创作风格</w:t>
      </w:r>
      <w:r>
        <w:rPr>
          <w:rFonts w:ascii="宋体" w:cs="宋体"/>
          <w:color w:val="000000"/>
          <w:shd w:val="clear" w:color="auto" w:fill="FFFFFF"/>
        </w:rPr>
        <w:t>,</w:t>
      </w:r>
      <w:r>
        <w:rPr>
          <w:rFonts w:hint="eastAsia" w:ascii="宋体" w:hAnsi="宋体" w:cs="宋体"/>
          <w:color w:val="000000"/>
          <w:shd w:val="clear" w:color="auto" w:fill="FFFFFF"/>
        </w:rPr>
        <w:t>掌握重要作家的生平、创作及其在文学史中的地位</w:t>
      </w:r>
      <w:r>
        <w:rPr>
          <w:rFonts w:ascii="宋体" w:cs="宋体"/>
          <w:color w:val="000000"/>
          <w:shd w:val="clear" w:color="auto" w:fill="FFFFFF"/>
        </w:rPr>
        <w:t>,</w:t>
      </w:r>
      <w:r>
        <w:rPr>
          <w:rFonts w:hint="eastAsia" w:ascii="宋体" w:hAnsi="宋体" w:cs="宋体"/>
          <w:color w:val="000000"/>
          <w:shd w:val="clear" w:color="auto" w:fill="FFFFFF"/>
        </w:rPr>
        <w:t>并能</w:t>
      </w:r>
      <w:r>
        <w:rPr>
          <w:rFonts w:hint="eastAsia" w:cs="宋体"/>
        </w:rPr>
        <w:t>运用中外文艺理论以及正确的文学观、价值观、历史观对相关</w:t>
      </w:r>
      <w:r>
        <w:rPr>
          <w:rFonts w:hint="eastAsia" w:ascii="宋体" w:hAnsi="宋体" w:cs="宋体"/>
          <w:color w:val="000000"/>
          <w:shd w:val="clear" w:color="auto" w:fill="FFFFFF"/>
        </w:rPr>
        <w:t>文学作品进行品读、分析与评价。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三、考核的形式和方法</w:t>
      </w:r>
    </w:p>
    <w:p>
      <w:pPr>
        <w:spacing w:line="360" w:lineRule="exact"/>
      </w:pPr>
      <w:r>
        <w:rPr>
          <w:rFonts w:hint="eastAsia"/>
        </w:rPr>
        <w:t>1、考核形式</w:t>
      </w:r>
    </w:p>
    <w:p>
      <w:pPr>
        <w:spacing w:line="360" w:lineRule="exact"/>
        <w:ind w:firstLine="420" w:firstLineChars="200"/>
      </w:pPr>
      <w:r>
        <w:rPr>
          <w:rFonts w:hint="eastAsia"/>
        </w:rPr>
        <w:t>闭卷</w:t>
      </w:r>
    </w:p>
    <w:p>
      <w:pPr>
        <w:spacing w:line="360" w:lineRule="exact"/>
      </w:pPr>
      <w:r>
        <w:rPr>
          <w:rFonts w:hint="eastAsia"/>
        </w:rPr>
        <w:t>2、考核方法</w:t>
      </w:r>
    </w:p>
    <w:p>
      <w:pPr>
        <w:spacing w:line="360" w:lineRule="exact"/>
        <w:ind w:firstLine="420" w:firstLineChars="200"/>
      </w:pPr>
      <w:r>
        <w:rPr>
          <w:rFonts w:hint="eastAsia"/>
        </w:rPr>
        <w:t>考试时间为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0分钟，100分试卷。</w:t>
      </w:r>
      <w:r>
        <w:rPr>
          <w:rFonts w:hint="eastAsia" w:ascii="宋体" w:hAnsi="宋体" w:cs="宋体"/>
        </w:rPr>
        <w:t>题型分为客观性试题和主观性试题，</w:t>
      </w:r>
      <w:r>
        <w:rPr>
          <w:rFonts w:hint="eastAsia"/>
        </w:rPr>
        <w:t>客观性试题可采用名词解释、填空、选择、简答等题型，主要考核文学史的基本常识；主观性试题可采用简答、材料阅读分析题、论述题等题型，主要考核学生对文学作品的阅读、对文学流派与文学作家的评价与分析能力。</w:t>
      </w:r>
      <w:bookmarkStart w:id="3" w:name="_GoBack"/>
      <w:bookmarkEnd w:id="3"/>
      <w:r>
        <w:rPr>
          <w:rFonts w:ascii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四、考核内容</w:t>
      </w:r>
    </w:p>
    <w:p>
      <w:pPr>
        <w:tabs>
          <w:tab w:val="left" w:pos="4035"/>
        </w:tabs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第一章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hint="eastAsia" w:ascii="宋体" w:hAnsi="宋体" w:cs="宋体"/>
          <w:b/>
          <w:color w:val="000000"/>
        </w:rPr>
        <w:t>五四文学革命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1、《新青年》与五四新文化；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2、白话文学与人的文学；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3、五四文学论争、文学革命的实绩、历史意义；</w:t>
      </w:r>
    </w:p>
    <w:p>
      <w:pPr>
        <w:tabs>
          <w:tab w:val="left" w:pos="403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4、主要文学社团：文学研究会、创造社、语丝社。</w:t>
      </w:r>
    </w:p>
    <w:p>
      <w:pPr>
        <w:spacing w:line="360" w:lineRule="exact"/>
        <w:rPr>
          <w:rFonts w:ascii="宋体" w:hAnsi="宋体"/>
          <w:color w:val="000000"/>
        </w:rPr>
      </w:pPr>
      <w:r>
        <w:rPr>
          <w:rFonts w:hint="eastAsia" w:ascii="宋体" w:hAnsi="宋体" w:cs="宋体"/>
          <w:b/>
          <w:color w:val="000000"/>
        </w:rPr>
        <w:t>第二章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20</w:t>
      </w:r>
      <w:r>
        <w:rPr>
          <w:rFonts w:hint="eastAsia" w:ascii="宋体" w:hAnsi="宋体" w:cs="宋体"/>
          <w:b/>
        </w:rPr>
        <w:t>年代小说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</w:t>
      </w:r>
      <w:r>
        <w:rPr>
          <w:rFonts w:ascii="宋体" w:hAnsi="宋体" w:cs="宋体"/>
          <w:color w:val="000000"/>
        </w:rPr>
        <w:t>20</w:t>
      </w:r>
      <w:r>
        <w:rPr>
          <w:rFonts w:hint="eastAsia" w:ascii="宋体" w:hAnsi="宋体" w:cs="宋体"/>
          <w:color w:val="000000"/>
        </w:rPr>
        <w:t>年代小说概述；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2、郁达夫小说的创作特色；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3、叶绍钧的创作；</w:t>
      </w:r>
    </w:p>
    <w:p>
      <w:pPr>
        <w:spacing w:line="360" w:lineRule="exact"/>
        <w:ind w:firstLine="420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color w:val="000000"/>
        </w:rPr>
        <w:t>4、重要作品：郁达夫的《沉沦》、叶绍钧的《潘先生在难中》。</w:t>
      </w:r>
      <w:r>
        <w:rPr>
          <w:rFonts w:ascii="宋体" w:hAnsi="宋体" w:cs="宋体"/>
          <w:b/>
          <w:color w:val="000000"/>
        </w:rPr>
        <w:t xml:space="preserve"> </w:t>
      </w:r>
    </w:p>
    <w:p>
      <w:pPr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第三章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hint="eastAsia" w:ascii="宋体" w:hAnsi="宋体" w:cs="宋体"/>
          <w:b/>
          <w:color w:val="000000"/>
        </w:rPr>
        <w:t>鲁迅</w:t>
      </w:r>
    </w:p>
    <w:p>
      <w:pPr>
        <w:spacing w:line="360" w:lineRule="exact"/>
        <w:ind w:firstLine="316" w:firstLineChars="150"/>
        <w:rPr>
          <w:rFonts w:ascii="宋体" w:hAnsi="宋体"/>
          <w:color w:val="000000"/>
        </w:rPr>
      </w:pPr>
      <w:r>
        <w:rPr>
          <w:rFonts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1、鲁迅现代小说的创作贡献；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2、《呐喊》、《彷徨》的思想、艺术特色；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3、《野草》的篇目及其创作特色；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4、重要作品：《狂人日记》、《阿</w:t>
      </w:r>
      <w:r>
        <w:rPr>
          <w:rFonts w:ascii="宋体" w:hAnsi="宋体" w:cs="宋体"/>
          <w:color w:val="000000"/>
        </w:rPr>
        <w:t>Q</w:t>
      </w:r>
      <w:r>
        <w:rPr>
          <w:rFonts w:hint="eastAsia" w:ascii="宋体" w:hAnsi="宋体" w:cs="宋体"/>
          <w:color w:val="000000"/>
        </w:rPr>
        <w:t xml:space="preserve">正传》、《孔乙己》、《伤逝》、《孤独者》、《秋夜》、《这   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样的战士》。</w: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第四章</w:t>
      </w:r>
      <w:r>
        <w:rPr>
          <w:rFonts w:ascii="宋体" w:hAnsi="宋体" w:cs="宋体"/>
          <w:b/>
          <w:color w:val="000000"/>
        </w:rPr>
        <w:t xml:space="preserve">   20</w:t>
      </w:r>
      <w:r>
        <w:rPr>
          <w:rFonts w:hint="eastAsia" w:ascii="宋体" w:hAnsi="宋体" w:cs="宋体"/>
          <w:b/>
          <w:color w:val="000000"/>
        </w:rPr>
        <w:t>年代新诗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1、郭沫若的艺术观与文学主张；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2、《女神》的艺术特色及创作贡献；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3、“新格律诗”的美学特征；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4、闻一多、徐志摩的创作概况与诗歌特色；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5、重点作品：《天狗》、《凤凰涅槃》、《炉中煤》、《死水》、《红烛》、《发现》、《再别康桥》、《雪花的快乐》、《偶然》、《沙扬娜拉》。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第五章</w:t>
      </w:r>
      <w:r>
        <w:rPr>
          <w:rFonts w:ascii="宋体" w:hAnsi="宋体" w:cs="宋体"/>
          <w:b/>
          <w:color w:val="000000"/>
        </w:rPr>
        <w:t xml:space="preserve">   20</w:t>
      </w:r>
      <w:r>
        <w:rPr>
          <w:rFonts w:hint="eastAsia" w:ascii="宋体" w:hAnsi="宋体" w:cs="宋体"/>
          <w:b/>
          <w:color w:val="000000"/>
        </w:rPr>
        <w:t>年代散文、戏剧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  <w:color w:val="000000"/>
        </w:rPr>
        <w:t>1、周作人的“美文”及其创作特色；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2、朱自清抒情散文创作特色；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3、冰心的散文。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4、田汉20年代的戏剧代表作。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5、重点作品：《乌篷船》、《故乡的野菜》、《桨声灯影里的秦淮河》、《匆匆》、《荷塘月色》、《笑》、《谈生命》。</w:t>
      </w:r>
    </w:p>
    <w:p>
      <w:pPr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第六章 30年代文学思潮</w:t>
      </w:r>
    </w:p>
    <w:p>
      <w:pPr>
        <w:spacing w:line="360" w:lineRule="exact"/>
        <w:ind w:firstLine="42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1、左翼文学思潮；</w:t>
      </w:r>
    </w:p>
    <w:p>
      <w:pPr>
        <w:spacing w:line="360" w:lineRule="exact"/>
        <w:ind w:firstLine="42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2、左联的兴起、发展与主要业绩；几次文学论争。</w:t>
      </w:r>
    </w:p>
    <w:p>
      <w:pPr>
        <w:tabs>
          <w:tab w:val="left" w:pos="360"/>
          <w:tab w:val="left" w:pos="960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第七章</w:t>
      </w:r>
      <w:r>
        <w:rPr>
          <w:rFonts w:ascii="宋体" w:hAnsi="宋体" w:cs="宋体"/>
          <w:b/>
          <w:color w:val="000000"/>
        </w:rPr>
        <w:t>30</w:t>
      </w:r>
      <w:r>
        <w:rPr>
          <w:rFonts w:hint="eastAsia" w:ascii="宋体" w:hAnsi="宋体" w:cs="宋体"/>
          <w:b/>
          <w:color w:val="000000"/>
        </w:rPr>
        <w:t>年代小说（一）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1、“新感觉派小说”重要作家、作品与整体艺术特色；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2、丁玲、张天翼的该期代表作；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3、重点作品：《莎菲女士的日记》、《华威先生》、《上海的狐步舞》、《梅雨之夕》、《夜总会的五个人》。</w:t>
      </w:r>
    </w:p>
    <w:p>
      <w:pPr>
        <w:tabs>
          <w:tab w:val="left" w:pos="360"/>
          <w:tab w:val="left" w:pos="960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</w:rPr>
        <w:t>第八章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年代小说（二）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1、茅盾的创作历程与创作贡献；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2、《子夜》的创作特色与艺术成就；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3、“社会分析小说”。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第九章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年代小说（三）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1、老舍该期创作的主要作品；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2、《骆驼祥子》的内容、人物、主题与艺术特色。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年代小说（四）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</w:rPr>
        <w:t>1、巴金的创作历程；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2、《家》中的人物塑造与艺术特色。</w:t>
      </w:r>
    </w:p>
    <w:p>
      <w:pPr>
        <w:spacing w:line="360" w:lineRule="exact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000000"/>
        </w:rPr>
        <w:t>第十一章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/>
          <w:b/>
        </w:rPr>
        <w:t>30</w:t>
      </w:r>
      <w:r>
        <w:rPr>
          <w:rFonts w:hint="eastAsia" w:ascii="宋体" w:hAnsi="宋体" w:cs="宋体"/>
          <w:b/>
        </w:rPr>
        <w:t>年代小说（五）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1、沈从文的“湘西世界”；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2、《边城》的内容、主题与艺术特色。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第十二章</w:t>
      </w:r>
      <w:r>
        <w:rPr>
          <w:rFonts w:ascii="宋体" w:hAnsi="宋体" w:cs="宋体"/>
          <w:b/>
          <w:color w:val="000000"/>
        </w:rPr>
        <w:t xml:space="preserve">  30</w:t>
      </w:r>
      <w:r>
        <w:rPr>
          <w:rFonts w:hint="eastAsia" w:ascii="宋体" w:hAnsi="宋体" w:cs="宋体"/>
          <w:b/>
          <w:color w:val="000000"/>
        </w:rPr>
        <w:t>年代新诗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1、戴望舒的现代诗歌创作贡献；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2、重要作品：《雨巷》、《我用残损的手掌》、《寻梦者》、《我的记忆》、《断章》。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第十三章</w:t>
      </w:r>
      <w:r>
        <w:rPr>
          <w:rFonts w:ascii="宋体" w:hAnsi="宋体" w:cs="宋体"/>
          <w:b/>
          <w:color w:val="000000"/>
        </w:rPr>
        <w:t xml:space="preserve">  30</w:t>
      </w:r>
      <w:r>
        <w:rPr>
          <w:rFonts w:hint="eastAsia" w:ascii="宋体" w:hAnsi="宋体" w:cs="宋体"/>
          <w:b/>
          <w:color w:val="000000"/>
        </w:rPr>
        <w:t>年代散文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1、鲁迅杂文的艺术特色；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2、林语堂的“幽默小品文”创作。</w:t>
      </w:r>
    </w:p>
    <w:p>
      <w:pPr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第十四章</w:t>
      </w:r>
      <w:r>
        <w:rPr>
          <w:rFonts w:ascii="宋体" w:hAnsi="宋体" w:cs="宋体"/>
          <w:b/>
          <w:color w:val="000000"/>
        </w:rPr>
        <w:t>30</w:t>
      </w:r>
      <w:r>
        <w:rPr>
          <w:rFonts w:hint="eastAsia" w:ascii="宋体" w:hAnsi="宋体" w:cs="宋体"/>
          <w:b/>
          <w:color w:val="000000"/>
        </w:rPr>
        <w:t>年代戏剧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1、曹禺话剧的创作资源与创作成就；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2、重点作品：《雷雨》、《日出》。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第十五章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年代的文学思潮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/>
          <w:color w:val="000000"/>
        </w:rPr>
        <w:t>1、</w:t>
      </w:r>
      <w:r>
        <w:rPr>
          <w:rFonts w:hint="eastAsia" w:ascii="宋体" w:hAnsi="宋体" w:cs="宋体"/>
          <w:color w:val="000000"/>
        </w:rPr>
        <w:t>国统区文学发展情况与几次大的文学论争；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2、《在延安文艺座谈会上的讲话》。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000000"/>
        </w:rPr>
        <w:t>第十六章</w:t>
      </w:r>
      <w:r>
        <w:rPr>
          <w:rFonts w:ascii="宋体" w:hAnsi="宋体" w:cs="宋体"/>
          <w:b/>
          <w:color w:val="000000"/>
        </w:rPr>
        <w:t xml:space="preserve">  </w:t>
      </w:r>
      <w:r>
        <w:rPr>
          <w:rFonts w:ascii="宋体" w:hAnsi="宋体" w:cs="宋体"/>
          <w:b/>
        </w:rPr>
        <w:t>40</w:t>
      </w:r>
      <w:r>
        <w:rPr>
          <w:rFonts w:hint="eastAsia" w:ascii="宋体" w:hAnsi="宋体" w:cs="宋体"/>
          <w:b/>
        </w:rPr>
        <w:t>年代小说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1、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沙汀的创作；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2、《围城》的主题意蕴与艺术风格、特色；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/>
          <w:color w:val="000000"/>
        </w:rPr>
        <w:t>3、</w:t>
      </w:r>
      <w:r>
        <w:rPr>
          <w:rFonts w:hint="eastAsia" w:ascii="宋体" w:hAnsi="宋体" w:cs="宋体"/>
          <w:color w:val="000000"/>
        </w:rPr>
        <w:t>张爱玲的创作；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4、重点作品：《在其香居茶馆里》、《围城》、《倾城之恋》、《金锁记》。</w:t>
      </w:r>
    </w:p>
    <w:p>
      <w:pPr>
        <w:tabs>
          <w:tab w:val="left" w:pos="7155"/>
        </w:tabs>
        <w:spacing w:line="360" w:lineRule="exact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第十七章 现代通俗小说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1、张恨水的通俗小说创作。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第十八章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年代新诗</w:t>
      </w:r>
      <w:r>
        <w:rPr>
          <w:rFonts w:ascii="宋体" w:hAnsi="宋体" w:cs="宋体"/>
          <w:b/>
          <w:color w:val="000000"/>
        </w:rPr>
        <w:t xml:space="preserve"> 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1、艾青的创作；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2、九叶诗派的创作特色；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3、重点作品：《手推车》、《我爱这土地》、《风景》（辛笛）、《金黄的稻束》。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第十九章</w:t>
      </w:r>
      <w:r>
        <w:rPr>
          <w:rFonts w:ascii="宋体" w:hAnsi="宋体" w:cs="宋体"/>
          <w:b/>
          <w:color w:val="000000"/>
        </w:rPr>
        <w:t xml:space="preserve">  40</w:t>
      </w:r>
      <w:r>
        <w:rPr>
          <w:rFonts w:hint="eastAsia" w:ascii="宋体" w:hAnsi="宋体" w:cs="宋体"/>
          <w:b/>
          <w:color w:val="000000"/>
        </w:rPr>
        <w:t>年代戏剧、散文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1、郭沫若的历史剧创作原则；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2、《屈原》；</w:t>
      </w:r>
    </w:p>
    <w:p>
      <w:pPr>
        <w:tabs>
          <w:tab w:val="left" w:pos="7155"/>
        </w:tabs>
        <w:spacing w:line="360" w:lineRule="exact"/>
        <w:rPr>
          <w:rFonts w:ascii="宋体" w:hAnsi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第二十章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/>
          <w:color w:val="000000"/>
        </w:rPr>
        <w:t>解放区文学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1、赵树理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“评书体小说”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的创作贡献；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2、《小二黑结婚》；</w:t>
      </w:r>
    </w:p>
    <w:p>
      <w:pPr>
        <w:tabs>
          <w:tab w:val="left" w:pos="7155"/>
        </w:tabs>
        <w:spacing w:line="36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3、孙犁的《荷花淀》。</w:t>
      </w:r>
    </w:p>
    <w:p>
      <w:pPr>
        <w:spacing w:before="156" w:beforeLines="50" w:after="156" w:afterLines="50" w:line="3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五、各部分内容近似分值</w:t>
      </w:r>
    </w:p>
    <w:tbl>
      <w:tblPr>
        <w:tblStyle w:val="9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411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考 试 内   容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涉及的章节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jc w:val="center"/>
              <w:rPr>
                <w:rFonts w:ascii="宋体" w:hAnsi="宋体" w:cs="宋体"/>
              </w:rPr>
            </w:pPr>
            <w:bookmarkStart w:id="0" w:name="OLE_LINK1" w:colFirst="2" w:colLast="2"/>
            <w:bookmarkStart w:id="1" w:name="_Hlk291018794"/>
            <w:bookmarkStart w:id="2" w:name="OLE_LINK2" w:colFirst="2" w:colLast="2"/>
            <w:r>
              <w:rPr>
                <w:rFonts w:hint="eastAsia" w:ascii="宋体" w:hAnsi="宋体" w:cs="宋体"/>
              </w:rPr>
              <w:t>文学史基本常识（文学思潮、文学活动、作家、作品）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全部的章节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现代小说的阅读与理解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第2、3、4、7、8、9、10、11、16、20  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现代诗歌的阅读与理解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第4、12、18章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现代散文的阅读与理解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第5、13章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现代戏剧的阅读与理解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第14、19章  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3" w:type="dxa"/>
            <w:gridSpan w:val="2"/>
            <w:vAlign w:val="center"/>
          </w:tcPr>
          <w:p>
            <w:pPr>
              <w:tabs>
                <w:tab w:val="center" w:pos="5203"/>
              </w:tabs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002" w:type="dxa"/>
            <w:vAlign w:val="center"/>
          </w:tcPr>
          <w:p>
            <w:pPr>
              <w:tabs>
                <w:tab w:val="center" w:pos="5203"/>
              </w:tabs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</w:t>
            </w:r>
          </w:p>
        </w:tc>
      </w:tr>
    </w:tbl>
    <w:p>
      <w:pPr>
        <w:spacing w:line="340" w:lineRule="exact"/>
        <w:rPr>
          <w:rFonts w:cs="宋体"/>
        </w:rPr>
      </w:pPr>
    </w:p>
    <w:p>
      <w:pPr>
        <w:spacing w:line="440" w:lineRule="exact"/>
        <w:rPr>
          <w:b/>
          <w:bCs/>
        </w:rPr>
      </w:pPr>
      <w:r>
        <w:rPr>
          <w:rFonts w:hint="eastAsia" w:ascii="宋体" w:hAnsi="宋体" w:cs="宋体"/>
          <w:b/>
          <w:color w:val="000000"/>
        </w:rPr>
        <w:t>参考</w:t>
      </w:r>
      <w:r>
        <w:rPr>
          <w:rFonts w:hint="eastAsia" w:cs="宋体"/>
          <w:b/>
          <w:bCs/>
        </w:rPr>
        <w:t>教材与参考材料：</w:t>
      </w:r>
    </w:p>
    <w:p>
      <w:pPr>
        <w:spacing w:line="440" w:lineRule="exact"/>
        <w:ind w:left="738" w:hanging="738" w:hangingChars="350"/>
        <w:rPr>
          <w:bCs/>
        </w:rPr>
      </w:pPr>
      <w:r>
        <w:rPr>
          <w:rFonts w:hint="eastAsia" w:cs="宋体"/>
          <w:b/>
          <w:bCs/>
        </w:rPr>
        <w:t>教材：</w:t>
      </w:r>
      <w:r>
        <w:rPr>
          <w:rFonts w:hint="eastAsia" w:cs="宋体"/>
          <w:bCs/>
        </w:rPr>
        <w:t>《中国现代文学史（</w:t>
      </w:r>
      <w:r>
        <w:rPr>
          <w:bCs/>
        </w:rPr>
        <w:t>1917-2013</w:t>
      </w:r>
      <w:r>
        <w:rPr>
          <w:rFonts w:hint="eastAsia" w:cs="宋体"/>
          <w:bCs/>
        </w:rPr>
        <w:t>）》</w:t>
      </w:r>
      <w:r>
        <w:rPr>
          <w:bCs/>
        </w:rPr>
        <w:t>(</w:t>
      </w:r>
      <w:r>
        <w:rPr>
          <w:rFonts w:hint="eastAsia" w:cs="宋体"/>
          <w:bCs/>
        </w:rPr>
        <w:t>上</w:t>
      </w:r>
      <w:r>
        <w:rPr>
          <w:bCs/>
        </w:rPr>
        <w:t>)</w:t>
      </w:r>
      <w:r>
        <w:rPr>
          <w:rFonts w:hint="eastAsia" w:cs="宋体"/>
          <w:bCs/>
        </w:rPr>
        <w:t>（第</w:t>
      </w:r>
      <w:r>
        <w:rPr>
          <w:bCs/>
        </w:rPr>
        <w:t>3</w:t>
      </w:r>
      <w:r>
        <w:rPr>
          <w:rFonts w:hint="eastAsia" w:cs="宋体"/>
          <w:bCs/>
        </w:rPr>
        <w:t>版），</w:t>
      </w:r>
      <w:r>
        <w:rPr>
          <w:bCs/>
        </w:rPr>
        <w:t xml:space="preserve"> </w:t>
      </w:r>
      <w:r>
        <w:rPr>
          <w:rFonts w:hint="eastAsia" w:cs="宋体"/>
          <w:bCs/>
        </w:rPr>
        <w:t>朱栋霖，朱晓进，吴义勤主编</w:t>
      </w:r>
      <w:r>
        <w:rPr>
          <w:bCs/>
        </w:rPr>
        <w:t xml:space="preserve"> </w:t>
      </w:r>
      <w:r>
        <w:rPr>
          <w:rFonts w:hint="eastAsia" w:cs="宋体"/>
          <w:bCs/>
        </w:rPr>
        <w:t>，</w:t>
      </w:r>
      <w:r>
        <w:rPr>
          <w:bCs/>
        </w:rPr>
        <w:t xml:space="preserve"> </w:t>
      </w:r>
      <w:r>
        <w:rPr>
          <w:rFonts w:hint="eastAsia" w:cs="宋体"/>
          <w:bCs/>
        </w:rPr>
        <w:t>北京：高等教育出版社，</w:t>
      </w:r>
      <w:r>
        <w:rPr>
          <w:bCs/>
        </w:rPr>
        <w:t>2014</w:t>
      </w:r>
      <w:r>
        <w:rPr>
          <w:rFonts w:hint="eastAsia" w:cs="宋体"/>
          <w:bCs/>
        </w:rPr>
        <w:t>年</w:t>
      </w:r>
      <w:r>
        <w:rPr>
          <w:bCs/>
        </w:rPr>
        <w:t>10</w:t>
      </w:r>
      <w:r>
        <w:rPr>
          <w:rFonts w:hint="eastAsia" w:cs="宋体"/>
          <w:bCs/>
        </w:rPr>
        <w:t>月出版。</w:t>
      </w:r>
    </w:p>
    <w:p>
      <w:pPr>
        <w:spacing w:line="440" w:lineRule="exact"/>
        <w:ind w:left="738" w:hanging="738" w:hangingChars="350"/>
      </w:pPr>
      <w:r>
        <w:rPr>
          <w:rFonts w:hint="eastAsia" w:cs="宋体"/>
          <w:b/>
        </w:rPr>
        <w:t>参考材料：</w:t>
      </w:r>
      <w:r>
        <w:rPr>
          <w:rFonts w:hint="eastAsia" w:cs="宋体"/>
        </w:rPr>
        <w:t>《中国现代文学作品选》（</w:t>
      </w:r>
      <w:r>
        <w:t>1917-20</w:t>
      </w:r>
      <w:r>
        <w:rPr>
          <w:rFonts w:hint="eastAsia"/>
        </w:rPr>
        <w:t>13</w:t>
      </w:r>
      <w:r>
        <w:rPr>
          <w:rFonts w:hint="eastAsia" w:cs="宋体"/>
        </w:rPr>
        <w:t>）</w:t>
      </w:r>
      <w:r>
        <w:t>(</w:t>
      </w:r>
      <w:r>
        <w:rPr>
          <w:rFonts w:hint="eastAsia" w:cs="宋体"/>
        </w:rPr>
        <w:t>两卷本</w:t>
      </w:r>
      <w:r>
        <w:t>)</w:t>
      </w:r>
      <w:r>
        <w:rPr>
          <w:rFonts w:hint="eastAsia"/>
        </w:rPr>
        <w:t xml:space="preserve"> 上册</w:t>
      </w:r>
      <w:r>
        <w:t xml:space="preserve"> </w:t>
      </w:r>
      <w:r>
        <w:rPr>
          <w:rFonts w:hint="eastAsia" w:cs="宋体"/>
        </w:rPr>
        <w:t>，朱栋霖主编，</w:t>
      </w:r>
      <w:r>
        <w:t xml:space="preserve">  </w:t>
      </w:r>
      <w:r>
        <w:rPr>
          <w:rFonts w:hint="eastAsia" w:cs="宋体"/>
        </w:rPr>
        <w:t>北京：高等教育出版社，</w:t>
      </w:r>
      <w:r>
        <w:t>20</w:t>
      </w:r>
      <w:r>
        <w:rPr>
          <w:rFonts w:hint="eastAsia"/>
        </w:rPr>
        <w:t>15</w:t>
      </w:r>
      <w:r>
        <w:rPr>
          <w:rFonts w:hint="eastAsia" w:cs="宋体"/>
        </w:rPr>
        <w:t>年4月出版。</w:t>
      </w:r>
    </w:p>
    <w:p>
      <w:pPr>
        <w:spacing w:line="440" w:lineRule="exact"/>
        <w:ind w:firstLine="315" w:firstLineChars="150"/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>
      <w:pPr>
        <w:spacing w:line="440" w:lineRule="exact"/>
        <w:ind w:left="420" w:leftChars="200"/>
        <w:rPr>
          <w:rFonts w:ascii="宋体"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25D7C"/>
    <w:multiLevelType w:val="singleLevel"/>
    <w:tmpl w:val="84B25D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2B"/>
    <w:rsid w:val="00001DE8"/>
    <w:rsid w:val="000174F1"/>
    <w:rsid w:val="00031134"/>
    <w:rsid w:val="0005367F"/>
    <w:rsid w:val="0005488B"/>
    <w:rsid w:val="00064EAC"/>
    <w:rsid w:val="000736BF"/>
    <w:rsid w:val="00075E95"/>
    <w:rsid w:val="00082C9F"/>
    <w:rsid w:val="000D1E96"/>
    <w:rsid w:val="00102C82"/>
    <w:rsid w:val="00132B84"/>
    <w:rsid w:val="001423C9"/>
    <w:rsid w:val="001D222C"/>
    <w:rsid w:val="001F66AF"/>
    <w:rsid w:val="002459D4"/>
    <w:rsid w:val="0026627B"/>
    <w:rsid w:val="00266C1E"/>
    <w:rsid w:val="00276C38"/>
    <w:rsid w:val="002775AC"/>
    <w:rsid w:val="002B66EB"/>
    <w:rsid w:val="002D5BE9"/>
    <w:rsid w:val="00364101"/>
    <w:rsid w:val="00384E87"/>
    <w:rsid w:val="00396DE6"/>
    <w:rsid w:val="003D407C"/>
    <w:rsid w:val="0043034A"/>
    <w:rsid w:val="00476B7C"/>
    <w:rsid w:val="004A7593"/>
    <w:rsid w:val="004F6128"/>
    <w:rsid w:val="00537752"/>
    <w:rsid w:val="0054194F"/>
    <w:rsid w:val="00547DAD"/>
    <w:rsid w:val="00551BCE"/>
    <w:rsid w:val="00564A0A"/>
    <w:rsid w:val="0064251E"/>
    <w:rsid w:val="0064664B"/>
    <w:rsid w:val="006967B0"/>
    <w:rsid w:val="006E53EA"/>
    <w:rsid w:val="0070292B"/>
    <w:rsid w:val="00781DC7"/>
    <w:rsid w:val="00785842"/>
    <w:rsid w:val="007C6341"/>
    <w:rsid w:val="007E7E90"/>
    <w:rsid w:val="0080680D"/>
    <w:rsid w:val="0090144B"/>
    <w:rsid w:val="009D7344"/>
    <w:rsid w:val="009F4909"/>
    <w:rsid w:val="00A41286"/>
    <w:rsid w:val="00A715DF"/>
    <w:rsid w:val="00A77CDE"/>
    <w:rsid w:val="00AC7A79"/>
    <w:rsid w:val="00AF5079"/>
    <w:rsid w:val="00B100E4"/>
    <w:rsid w:val="00B2319B"/>
    <w:rsid w:val="00B24EC9"/>
    <w:rsid w:val="00B446DD"/>
    <w:rsid w:val="00B625A7"/>
    <w:rsid w:val="00B717DA"/>
    <w:rsid w:val="00B81655"/>
    <w:rsid w:val="00BA2D43"/>
    <w:rsid w:val="00C0163F"/>
    <w:rsid w:val="00C17378"/>
    <w:rsid w:val="00C33F76"/>
    <w:rsid w:val="00CC65FD"/>
    <w:rsid w:val="00D02724"/>
    <w:rsid w:val="00E612DF"/>
    <w:rsid w:val="00EA303A"/>
    <w:rsid w:val="00EC1FB1"/>
    <w:rsid w:val="00F85B47"/>
    <w:rsid w:val="00F87548"/>
    <w:rsid w:val="00FC3E4E"/>
    <w:rsid w:val="10EF0366"/>
    <w:rsid w:val="16F46DA5"/>
    <w:rsid w:val="2151651C"/>
    <w:rsid w:val="27C07A1E"/>
    <w:rsid w:val="365917F5"/>
    <w:rsid w:val="557E053C"/>
    <w:rsid w:val="5B9F39AA"/>
    <w:rsid w:val="675C146E"/>
    <w:rsid w:val="69C523CA"/>
    <w:rsid w:val="7E52156B"/>
    <w:rsid w:val="7F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4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3 Char"/>
    <w:basedOn w:val="10"/>
    <w:link w:val="4"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Char"/>
    <w:basedOn w:val="10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副标题 Char"/>
    <w:basedOn w:val="10"/>
    <w:link w:val="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明显强调1"/>
    <w:basedOn w:val="1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weizhi2"/>
    <w:basedOn w:val="10"/>
    <w:qFormat/>
    <w:uiPriority w:val="0"/>
  </w:style>
  <w:style w:type="character" w:customStyle="1" w:styleId="2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352</Words>
  <Characters>2012</Characters>
  <Lines>16</Lines>
  <Paragraphs>4</Paragraphs>
  <TotalTime>2</TotalTime>
  <ScaleCrop>false</ScaleCrop>
  <LinksUpToDate>false</LinksUpToDate>
  <CharactersWithSpaces>2360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2021-05-12T02:04:00Z</dcterms:created>
  <dc:creator>Administrator</dc:creator>
  <cp:lastModifiedBy>鲍美红</cp:lastModifiedBy>
  <dcterms:modified xsi:type="dcterms:W3CDTF">2022-03-17T00:53:42Z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1C7516B198E24AEBBF0449FC06F9AFFF</vt:lpwstr>
  </property>
</Properties>
</file>