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武汉工程科技学院2022年普通专升本入学考试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《金融学》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课程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一、适用对象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本课程考试适用于报考武汉工程科技学院普通专升本金融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学专业的考生。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二、考试目的</w:t>
      </w:r>
    </w:p>
    <w:p>
      <w:pPr>
        <w:spacing w:before="78" w:beforeLines="25" w:after="78" w:afterLines="25" w:line="400" w:lineRule="exact"/>
        <w:ind w:firstLine="48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主要考查考生掌握金融学的基本理论、基本概念、基本方法等主要知识点学习、理解和掌握情况，以此判断考生是否具有本科学习的能力，从中挑选具备一定金融学专业素质以及分析问题、解决问题的考生进一步接受金融学专业知识和理论的培养和教育。</w:t>
      </w:r>
    </w:p>
    <w:p>
      <w:pPr>
        <w:spacing w:before="78" w:beforeLines="25" w:after="78" w:afterLines="25" w:line="440" w:lineRule="exact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三、考试形式及考试时间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1、考试形式：笔试闭卷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2、考试时间：90分钟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3、满分：100分</w:t>
      </w:r>
    </w:p>
    <w:p>
      <w:pPr>
        <w:spacing w:before="78" w:beforeLines="25" w:after="78" w:afterLines="25" w:line="440" w:lineRule="exact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四、考试题型结构及分值公布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考试题型包括单选题、多选题、判断题、简答题、计算题和案例分析题。具体分值如下：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单选题占10%（共10题，每小题1分，</w:t>
      </w:r>
      <w:r>
        <w:rPr>
          <w:rFonts w:hint="eastAsia" w:ascii="宋体" w:hAnsi="宋体" w:cs="宋体"/>
          <w:sz w:val="24"/>
          <w:lang w:eastAsia="zh-CN"/>
        </w:rPr>
        <w:t>共</w:t>
      </w:r>
      <w:r>
        <w:rPr>
          <w:rFonts w:hint="eastAsia" w:ascii="宋体" w:hAnsi="宋体" w:eastAsia="宋体" w:cs="宋体"/>
          <w:sz w:val="24"/>
        </w:rPr>
        <w:t>计10分）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多选题占15%（共5题，每小题3分，</w:t>
      </w:r>
      <w:r>
        <w:rPr>
          <w:rFonts w:hint="eastAsia" w:ascii="宋体" w:hAnsi="宋体" w:cs="宋体"/>
          <w:sz w:val="24"/>
          <w:lang w:eastAsia="zh-CN"/>
        </w:rPr>
        <w:t>共</w:t>
      </w:r>
      <w:r>
        <w:rPr>
          <w:rFonts w:hint="eastAsia" w:ascii="宋体" w:hAnsi="宋体" w:eastAsia="宋体" w:cs="宋体"/>
          <w:sz w:val="24"/>
        </w:rPr>
        <w:t>计15分）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判断题占10%（共10题，每小题1分，</w:t>
      </w:r>
      <w:r>
        <w:rPr>
          <w:rFonts w:hint="eastAsia" w:ascii="宋体" w:hAnsi="宋体" w:cs="宋体"/>
          <w:sz w:val="24"/>
          <w:lang w:eastAsia="zh-CN"/>
        </w:rPr>
        <w:t>共</w:t>
      </w:r>
      <w:r>
        <w:rPr>
          <w:rFonts w:hint="eastAsia" w:ascii="宋体" w:hAnsi="宋体" w:eastAsia="宋体" w:cs="宋体"/>
          <w:sz w:val="24"/>
        </w:rPr>
        <w:t>计10分）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简答题占30%（共3题，每小题10分，</w:t>
      </w:r>
      <w:r>
        <w:rPr>
          <w:rFonts w:hint="eastAsia" w:ascii="宋体" w:hAnsi="宋体" w:cs="宋体"/>
          <w:sz w:val="24"/>
          <w:lang w:eastAsia="zh-CN"/>
        </w:rPr>
        <w:t>共</w:t>
      </w:r>
      <w:r>
        <w:rPr>
          <w:rFonts w:hint="eastAsia" w:ascii="宋体" w:hAnsi="宋体" w:eastAsia="宋体" w:cs="宋体"/>
          <w:sz w:val="24"/>
        </w:rPr>
        <w:t>计30分）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计算题占20%（共2题，每题10分，</w:t>
      </w:r>
      <w:r>
        <w:rPr>
          <w:rFonts w:hint="eastAsia" w:ascii="宋体" w:hAnsi="宋体" w:cs="宋体"/>
          <w:sz w:val="24"/>
          <w:lang w:eastAsia="zh-CN"/>
        </w:rPr>
        <w:t>共</w:t>
      </w:r>
      <w:r>
        <w:rPr>
          <w:rFonts w:hint="eastAsia" w:ascii="宋体" w:hAnsi="宋体" w:eastAsia="宋体" w:cs="宋体"/>
          <w:sz w:val="24"/>
        </w:rPr>
        <w:t>计20分）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案例分析题占15%（共1大题，共计15分）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五、考试内容及要求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门课程考核要求分为“了解”、“理解”、“掌握”三个层次。“了解”是指学生对要求了解的内容，能解释有关的概念、知识的含义，并能正确认识和表述。“理解”是在了解的基础上，能全面把握基本概念、基本原理、基本方法，能记忆有关内容。“掌握”是在理解的基础上，能运用基本概念、基本原理、基本方法，分析和解决有关的理论问题和实际问题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第一章   货币—金融的本源性要素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了解货币的起源及货币是一般等价物反映特定社会形态的生产关系。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理解货币量层次的划分以及马克思关于货币量范围的论述。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掌握货币的职能；货币形态及其功能的演变。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第二章   货币制度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了解货币制度的形成；国际货币制度的作用及演变；区域性货币一体化；人民币国际化进程。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理解货币制度的构成要素；货币制度的演变。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掌握新中国的货币制度及其基本内容。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第三章   信用、利息与利率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了解信用的含义、特征及经济职能、信用工具的类型和特征；利息的本质。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理解信用制度及信用形式；信用风险及其防范。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掌握信用工具的价格、利息率及其分类；利率决定理论；利率市场化的含义。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第四章  外汇与汇率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了解外汇的概念与特征、外汇风险的界定。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理解汇率的概念、标价法及分类；汇率的决定；外汇管制与外汇管理。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掌握汇率变动的基本效应、汇率机制的约束条件、外汇风险的防范。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第五章  金融市场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了解货币市场、资本市场、其他金融市场及主要子市场。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理解金融市场的特征与分类；金融市场的构成要素；金融市场的功能。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掌握国际金融市场的类型构成；现代金融市场理论。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第六章  金融机构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了解新中国金融体系的改革与发展及主要国际金融机构。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理解金融机构的功能和类型。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掌握中国金融机构体系的现状。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第七章  商业银行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了解商业银行的产生、发展及其特征与组织形式；中国商业银行改革历程。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理解商业银行经营原则；《巴塞尔协议》系列的主要内容。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掌握商业银行的负债业务、资产业务和中间业务。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第八章  中央银行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了解中央银行的产生与发展。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理解中央银行的性质、职能和独立性问题。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掌握中央银行的职能和主要业务。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第九章  货币需求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了解货币需求的基本含义和种类；货币需求的测算。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理解货币需求的分类；货币需求的主要理论和基本原理。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掌握马克思关于货币需求的基本观点、理论、货币需求的基本原理。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第十章  货币供给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了解货币供给的基本含义和种类；货币供给的基本原理。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理解马克思主义和西方经济学家关于货币供给的基本观点、理论；由存款派生引出的货币供给模型；基础货币变动与中央银行调控。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掌握货币乘数、存款货币创造在量上的限制因素和利率、汇率变动与货币供给。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第十一章     货币均衡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了解货币均衡的基本含义、货币供求的基本原理。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理解货币供给均衡的实现及其社会总供求均衡的关系。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掌握货币失衡的理论模型。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第十二章     通货膨胀与通货紧缩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了解通货膨胀与通货紧缩的含义、类型及特点。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理解通货膨胀的成因及效应；通货紧缩的危害及效应。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掌握通货膨胀与通货紧缩的产生以及治理措施。</w:t>
      </w:r>
    </w:p>
    <w:p>
      <w:pPr>
        <w:numPr>
          <w:ilvl w:val="0"/>
          <w:numId w:val="1"/>
        </w:num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    货币政策调控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了解货币政策的目标，国内外金融发展动态；国家有关金融的方针、政策和法律法规。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理解货币政策的运用及与财政政策的搭配。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掌握货币政策的传导机制与目标，货币政策的特点与效应。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六、参考教材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《金融学》（第六版）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ISBN：978-7-04-051652-4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作者：曹龙骐主编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出版社：高等教育出版社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出版时间：2019-06</w:t>
      </w:r>
    </w:p>
    <w:p>
      <w:pPr>
        <w:widowControl/>
        <w:tabs>
          <w:tab w:val="left" w:pos="5879"/>
          <w:tab w:val="left" w:pos="7079"/>
          <w:tab w:val="left" w:pos="7679"/>
          <w:tab w:val="left" w:pos="8159"/>
        </w:tabs>
        <w:spacing w:before="1"/>
        <w:jc w:val="center"/>
        <w:rPr>
          <w:sz w:val="24"/>
        </w:rPr>
      </w:pPr>
      <w:r>
        <w:rPr>
          <w:rFonts w:hint="eastAsia" w:ascii="宋体" w:hAnsi="宋体" w:eastAsia="Calibri" w:cs="宋体"/>
          <w:sz w:val="24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63A6CA"/>
    <w:multiLevelType w:val="singleLevel"/>
    <w:tmpl w:val="A863A6CA"/>
    <w:lvl w:ilvl="0" w:tentative="0">
      <w:start w:val="1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20"/>
    <w:rsid w:val="00017F14"/>
    <w:rsid w:val="0002721C"/>
    <w:rsid w:val="0005031B"/>
    <w:rsid w:val="000B399C"/>
    <w:rsid w:val="000B5CAA"/>
    <w:rsid w:val="000C3EFD"/>
    <w:rsid w:val="000D7C20"/>
    <w:rsid w:val="000F1DD8"/>
    <w:rsid w:val="00123F52"/>
    <w:rsid w:val="00146C5D"/>
    <w:rsid w:val="00192A52"/>
    <w:rsid w:val="001C04EB"/>
    <w:rsid w:val="001C320B"/>
    <w:rsid w:val="001E7397"/>
    <w:rsid w:val="001F6E1D"/>
    <w:rsid w:val="002D6AF7"/>
    <w:rsid w:val="002E2698"/>
    <w:rsid w:val="002E2E87"/>
    <w:rsid w:val="00313434"/>
    <w:rsid w:val="003539F5"/>
    <w:rsid w:val="00371DB1"/>
    <w:rsid w:val="003D6ED0"/>
    <w:rsid w:val="00477120"/>
    <w:rsid w:val="004865A1"/>
    <w:rsid w:val="004E31FE"/>
    <w:rsid w:val="005118F2"/>
    <w:rsid w:val="0054222B"/>
    <w:rsid w:val="00570C69"/>
    <w:rsid w:val="00596C42"/>
    <w:rsid w:val="005B1130"/>
    <w:rsid w:val="005C5528"/>
    <w:rsid w:val="00651C85"/>
    <w:rsid w:val="006558F5"/>
    <w:rsid w:val="006A5BFD"/>
    <w:rsid w:val="006F5CC6"/>
    <w:rsid w:val="007A1ECC"/>
    <w:rsid w:val="007B056A"/>
    <w:rsid w:val="00833F35"/>
    <w:rsid w:val="008510F2"/>
    <w:rsid w:val="008D08F1"/>
    <w:rsid w:val="00914452"/>
    <w:rsid w:val="009642B3"/>
    <w:rsid w:val="009760E2"/>
    <w:rsid w:val="009806E7"/>
    <w:rsid w:val="009A4607"/>
    <w:rsid w:val="009E57CE"/>
    <w:rsid w:val="00A0739F"/>
    <w:rsid w:val="00A84B01"/>
    <w:rsid w:val="00B57C51"/>
    <w:rsid w:val="00B80DA0"/>
    <w:rsid w:val="00B853B0"/>
    <w:rsid w:val="00BC0015"/>
    <w:rsid w:val="00BC4F5C"/>
    <w:rsid w:val="00BD4D1A"/>
    <w:rsid w:val="00C35F38"/>
    <w:rsid w:val="00CC3BF8"/>
    <w:rsid w:val="00CE6E1C"/>
    <w:rsid w:val="00D20158"/>
    <w:rsid w:val="00D22C19"/>
    <w:rsid w:val="00D63C5B"/>
    <w:rsid w:val="00D7181C"/>
    <w:rsid w:val="00DA448C"/>
    <w:rsid w:val="00DB1006"/>
    <w:rsid w:val="00DD5E87"/>
    <w:rsid w:val="00E17B7F"/>
    <w:rsid w:val="00E33646"/>
    <w:rsid w:val="00E52E9C"/>
    <w:rsid w:val="00E75475"/>
    <w:rsid w:val="00EF3780"/>
    <w:rsid w:val="00F00A7D"/>
    <w:rsid w:val="00F55E52"/>
    <w:rsid w:val="00FB5FAA"/>
    <w:rsid w:val="00FC6BBE"/>
    <w:rsid w:val="01695F22"/>
    <w:rsid w:val="04F60D52"/>
    <w:rsid w:val="05104D93"/>
    <w:rsid w:val="0C0A4D92"/>
    <w:rsid w:val="108C2769"/>
    <w:rsid w:val="126212F4"/>
    <w:rsid w:val="20E73EB7"/>
    <w:rsid w:val="239900CD"/>
    <w:rsid w:val="262F58FB"/>
    <w:rsid w:val="2D6623E2"/>
    <w:rsid w:val="3497159C"/>
    <w:rsid w:val="38295259"/>
    <w:rsid w:val="38DC74B2"/>
    <w:rsid w:val="3CA03E50"/>
    <w:rsid w:val="3DDA41D8"/>
    <w:rsid w:val="3E490B2A"/>
    <w:rsid w:val="3EB36777"/>
    <w:rsid w:val="42DB6F75"/>
    <w:rsid w:val="437E7A71"/>
    <w:rsid w:val="46BE3025"/>
    <w:rsid w:val="4DB64682"/>
    <w:rsid w:val="4F343443"/>
    <w:rsid w:val="508164D0"/>
    <w:rsid w:val="50B05655"/>
    <w:rsid w:val="523458CC"/>
    <w:rsid w:val="54BD60C5"/>
    <w:rsid w:val="55650DEA"/>
    <w:rsid w:val="59D33277"/>
    <w:rsid w:val="5ADC45CA"/>
    <w:rsid w:val="5B963692"/>
    <w:rsid w:val="5FC14331"/>
    <w:rsid w:val="63CB7848"/>
    <w:rsid w:val="6504586A"/>
    <w:rsid w:val="66131492"/>
    <w:rsid w:val="6D427BAA"/>
    <w:rsid w:val="70F115DC"/>
    <w:rsid w:val="749A1F5A"/>
    <w:rsid w:val="7EAD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333E4C-C261-4E0B-8B9F-90D4C4855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308</Words>
  <Characters>1759</Characters>
  <Lines>14</Lines>
  <Paragraphs>4</Paragraphs>
  <TotalTime>1</TotalTime>
  <ScaleCrop>false</ScaleCrop>
  <LinksUpToDate>false</LinksUpToDate>
  <CharactersWithSpaces>2063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2020-05-29T06:52:00Z</dcterms:created>
  <dc:creator>Sharon Yao</dc:creator>
  <cp:lastModifiedBy>霞霞</cp:lastModifiedBy>
  <dcterms:modified xsi:type="dcterms:W3CDTF">2022-03-21T02:56:33Z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7006BC6722EA4EBF911F470EB4183795</vt:lpwstr>
  </property>
</Properties>
</file>