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2022年普通专升本《基础化学》考试大纲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21"/>
        </w:rPr>
      </w:pP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本考试的目的是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选拔部分高职高专毕业生</w:t>
      </w:r>
      <w:r>
        <w:rPr>
          <w:rFonts w:hint="eastAsia" w:ascii="仿宋_GB2312" w:eastAsia="仿宋_GB2312"/>
          <w:sz w:val="32"/>
          <w:szCs w:val="32"/>
        </w:rPr>
        <w:t>升入普通本科高校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继续进行相关专业本科阶段学习，考查考生是否了解基础化学的基本理论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知识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以及对相关无机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化合物性质的掌握程度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既测试学生的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基础知识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，也测试学生的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综合应用的能力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。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以选拔人才为宗旨，制定的本考试大纲。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一、考试科目名称：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《基础化学》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二、考试方式：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笔试、闭卷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三、考试时间：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90分钟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四、试卷结构：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总分100分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1.单项选择题（共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30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30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2.判断题(共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分)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3.计算题(共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4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0分)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4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40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分）</w:t>
      </w:r>
    </w:p>
    <w:p>
      <w:pPr>
        <w:autoSpaceDE w:val="0"/>
        <w:autoSpaceDN w:val="0"/>
        <w:adjustRightInd w:val="0"/>
        <w:spacing w:line="480" w:lineRule="exact"/>
        <w:ind w:firstLine="643" w:firstLineChars="200"/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4.分析题(共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  <w:lang w:val="zh-CN"/>
        </w:rPr>
        <w:t>2</w:t>
      </w: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  <w:lang w:val="zh-CN"/>
        </w:rPr>
        <w:t>0分)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题（每题10分，共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20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分)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五、考试的基本要求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本考试要求将</w:t>
      </w:r>
      <w:r>
        <w:rPr>
          <w:rFonts w:hint="eastAsia" w:ascii="仿宋" w:hAnsi="仿宋" w:eastAsia="仿宋"/>
          <w:color w:val="000000"/>
          <w:kern w:val="0"/>
          <w:sz w:val="32"/>
          <w:szCs w:val="21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中的基本知识、基本理论、化学计算等知识分为识记、理解、分析计算、综合应用四个层次。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识记：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指对</w:t>
      </w:r>
      <w:r>
        <w:rPr>
          <w:rFonts w:hint="eastAsia" w:ascii="仿宋" w:hAnsi="仿宋" w:eastAsia="仿宋"/>
          <w:color w:val="000000"/>
          <w:kern w:val="0"/>
          <w:sz w:val="32"/>
          <w:szCs w:val="21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中的有关术语、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基本概念、基本知识、基本技能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和基本方法能直接应用。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理解：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指对</w:t>
      </w:r>
      <w:r>
        <w:rPr>
          <w:rFonts w:hint="eastAsia" w:ascii="仿宋" w:hAnsi="仿宋" w:eastAsia="仿宋"/>
          <w:color w:val="000000"/>
          <w:kern w:val="0"/>
          <w:sz w:val="32"/>
          <w:szCs w:val="21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中的概念、公式、方法、基本定律和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元素的基本性质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有一定的理性认识，在理解的基础上能运用所学知识与简单的实际问题相联系。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分析计算：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指在理解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元素的化学性质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及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基本定律和计算公式的基础上进行有关化学计算。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</w:rPr>
        <w:t>综合应用：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指能</w:t>
      </w:r>
      <w:r>
        <w:rPr>
          <w:rFonts w:ascii="仿宋" w:hAnsi="仿宋" w:eastAsia="仿宋"/>
          <w:color w:val="000000"/>
          <w:kern w:val="0"/>
          <w:sz w:val="32"/>
          <w:szCs w:val="21"/>
        </w:rPr>
        <w:t>综合运用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基础化学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基础知识解决简单的实际问题。</w:t>
      </w:r>
    </w:p>
    <w:p>
      <w:pPr>
        <w:autoSpaceDE w:val="0"/>
        <w:autoSpaceDN w:val="0"/>
        <w:adjustRightInd w:val="0"/>
        <w:spacing w:line="480" w:lineRule="exact"/>
        <w:rPr>
          <w:rFonts w:ascii="黑体" w:hAnsi="黑体" w:eastAsia="黑体"/>
          <w:color w:val="000000"/>
          <w:sz w:val="32"/>
          <w:szCs w:val="21"/>
        </w:rPr>
      </w:pPr>
      <w:r>
        <w:rPr>
          <w:rFonts w:hint="eastAsia" w:ascii="黑体" w:hAnsi="黑体" w:eastAsia="黑体"/>
          <w:color w:val="000000"/>
          <w:sz w:val="32"/>
          <w:szCs w:val="21"/>
        </w:rPr>
        <w:t>六、考试范围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（一）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化学平衡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物质基础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化学计算基础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化学平衡，平衡常数，化学平衡的有关计算。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（二）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电解质溶液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酸碱的基本概念，酸碱质子理论，同离子效应和缓冲溶液</w:t>
      </w:r>
      <w:r>
        <w:rPr>
          <w:rFonts w:hint="eastAsia" w:ascii="仿宋" w:hAnsi="仿宋" w:eastAsia="仿宋"/>
          <w:color w:val="000000"/>
          <w:kern w:val="0"/>
          <w:sz w:val="32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（三）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原子结构和元素周期律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原子核外电子运动规律，四个量子数，电子的排布原理及核外电子排布，周期系内各元素原子的核外电子层结构的特征，元素性质周期性变化规律。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（四）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化学键与分子结构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离子键、共价键特征，σ键和π键，杂化轨道的理论及分子的空间构型，分子间力及氢键。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  <w:r>
        <w:rPr>
          <w:rFonts w:hint="eastAsia" w:ascii="楷体_GB2312" w:hAnsi="仿宋" w:eastAsia="楷体_GB2312"/>
          <w:b/>
          <w:color w:val="000000"/>
          <w:kern w:val="0"/>
          <w:sz w:val="32"/>
          <w:szCs w:val="21"/>
        </w:rPr>
        <w:t>（五）</w:t>
      </w:r>
      <w:r>
        <w:rPr>
          <w:rFonts w:ascii="楷体_GB2312" w:hAnsi="仿宋" w:eastAsia="楷体_GB2312"/>
          <w:b/>
          <w:color w:val="000000"/>
          <w:kern w:val="0"/>
          <w:sz w:val="32"/>
          <w:szCs w:val="21"/>
        </w:rPr>
        <w:t>配位化合物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  <w:r>
        <w:rPr>
          <w:rFonts w:ascii="仿宋" w:hAnsi="仿宋" w:eastAsia="仿宋"/>
          <w:color w:val="000000"/>
          <w:kern w:val="0"/>
          <w:sz w:val="32"/>
          <w:szCs w:val="21"/>
          <w:lang w:val="zh-CN"/>
        </w:rPr>
        <w:t>配合物的定义、组成及命名等基本概念，配合物化学键的本质及空间构型，配位化合物的稳定性及有关计算。</w:t>
      </w:r>
    </w:p>
    <w:p>
      <w:pPr>
        <w:autoSpaceDE w:val="0"/>
        <w:autoSpaceDN w:val="0"/>
        <w:adjustRightInd w:val="0"/>
        <w:spacing w:line="480" w:lineRule="exact"/>
        <w:rPr>
          <w:rFonts w:ascii="楷体_GB2312" w:hAnsi="仿宋" w:eastAsia="楷体_GB2312"/>
          <w:b/>
          <w:color w:val="000000"/>
          <w:kern w:val="0"/>
          <w:sz w:val="32"/>
          <w:szCs w:val="21"/>
        </w:rPr>
      </w:pPr>
    </w:p>
    <w:p>
      <w:pPr>
        <w:autoSpaceDE w:val="0"/>
        <w:autoSpaceDN w:val="0"/>
        <w:adjustRightInd w:val="0"/>
        <w:spacing w:line="48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21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color w:val="000000"/>
          <w:sz w:val="28"/>
          <w:szCs w:val="28"/>
          <w:u w:val="singl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2098" w:right="1474" w:bottom="1984" w:left="1587" w:header="851" w:footer="1400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8E"/>
    <w:rsid w:val="00052486"/>
    <w:rsid w:val="00064D7F"/>
    <w:rsid w:val="000651C5"/>
    <w:rsid w:val="00070E30"/>
    <w:rsid w:val="000974FF"/>
    <w:rsid w:val="000A68DC"/>
    <w:rsid w:val="000E5329"/>
    <w:rsid w:val="00112727"/>
    <w:rsid w:val="001865ED"/>
    <w:rsid w:val="001A5FE2"/>
    <w:rsid w:val="001B652B"/>
    <w:rsid w:val="001E4D10"/>
    <w:rsid w:val="00210633"/>
    <w:rsid w:val="00257D63"/>
    <w:rsid w:val="002627EA"/>
    <w:rsid w:val="00264C2E"/>
    <w:rsid w:val="00287A5C"/>
    <w:rsid w:val="002A03D8"/>
    <w:rsid w:val="002C1873"/>
    <w:rsid w:val="002D138E"/>
    <w:rsid w:val="002D388E"/>
    <w:rsid w:val="002D3FCB"/>
    <w:rsid w:val="00300B82"/>
    <w:rsid w:val="003606E9"/>
    <w:rsid w:val="003A5432"/>
    <w:rsid w:val="003C39F8"/>
    <w:rsid w:val="003D709C"/>
    <w:rsid w:val="004056EA"/>
    <w:rsid w:val="00442408"/>
    <w:rsid w:val="00447FAA"/>
    <w:rsid w:val="00454B8D"/>
    <w:rsid w:val="00462114"/>
    <w:rsid w:val="00486A05"/>
    <w:rsid w:val="004A247D"/>
    <w:rsid w:val="005813A8"/>
    <w:rsid w:val="005943C9"/>
    <w:rsid w:val="005E3F9F"/>
    <w:rsid w:val="006E2C43"/>
    <w:rsid w:val="0075759A"/>
    <w:rsid w:val="007854FE"/>
    <w:rsid w:val="00795025"/>
    <w:rsid w:val="00860EDE"/>
    <w:rsid w:val="008C247E"/>
    <w:rsid w:val="008C5122"/>
    <w:rsid w:val="008C73C8"/>
    <w:rsid w:val="008D19F6"/>
    <w:rsid w:val="008F4433"/>
    <w:rsid w:val="009349DF"/>
    <w:rsid w:val="009453C5"/>
    <w:rsid w:val="00973E35"/>
    <w:rsid w:val="009B0537"/>
    <w:rsid w:val="009C3E0D"/>
    <w:rsid w:val="009C6FB3"/>
    <w:rsid w:val="00A12522"/>
    <w:rsid w:val="00A33C91"/>
    <w:rsid w:val="00A36E96"/>
    <w:rsid w:val="00A45ACB"/>
    <w:rsid w:val="00A778DD"/>
    <w:rsid w:val="00A92C75"/>
    <w:rsid w:val="00AB0F6A"/>
    <w:rsid w:val="00AC1289"/>
    <w:rsid w:val="00AD4ED1"/>
    <w:rsid w:val="00AE1CC6"/>
    <w:rsid w:val="00B31971"/>
    <w:rsid w:val="00B400C0"/>
    <w:rsid w:val="00B70CC5"/>
    <w:rsid w:val="00BA2B12"/>
    <w:rsid w:val="00BA43A7"/>
    <w:rsid w:val="00BB3A3C"/>
    <w:rsid w:val="00BC0073"/>
    <w:rsid w:val="00BC5B50"/>
    <w:rsid w:val="00BC6211"/>
    <w:rsid w:val="00BD32F5"/>
    <w:rsid w:val="00BE62B7"/>
    <w:rsid w:val="00C409E5"/>
    <w:rsid w:val="00C56876"/>
    <w:rsid w:val="00C71A80"/>
    <w:rsid w:val="00C9739E"/>
    <w:rsid w:val="00CB1448"/>
    <w:rsid w:val="00D02B15"/>
    <w:rsid w:val="00D065C8"/>
    <w:rsid w:val="00D40EFE"/>
    <w:rsid w:val="00D54C86"/>
    <w:rsid w:val="00D56026"/>
    <w:rsid w:val="00D633CF"/>
    <w:rsid w:val="00DE0A6B"/>
    <w:rsid w:val="00DE57A3"/>
    <w:rsid w:val="00E03A30"/>
    <w:rsid w:val="00E12291"/>
    <w:rsid w:val="00E518C7"/>
    <w:rsid w:val="00E66C4F"/>
    <w:rsid w:val="00EA2734"/>
    <w:rsid w:val="00F30A6C"/>
    <w:rsid w:val="00F318CA"/>
    <w:rsid w:val="00F5057A"/>
    <w:rsid w:val="00F5721A"/>
    <w:rsid w:val="00F91FBD"/>
    <w:rsid w:val="00FA29EE"/>
    <w:rsid w:val="00FB1D25"/>
    <w:rsid w:val="00FD6B76"/>
    <w:rsid w:val="024A52CF"/>
    <w:rsid w:val="02B43E43"/>
    <w:rsid w:val="031344BE"/>
    <w:rsid w:val="03B36ABC"/>
    <w:rsid w:val="03DB7476"/>
    <w:rsid w:val="04E51685"/>
    <w:rsid w:val="057675EB"/>
    <w:rsid w:val="07900364"/>
    <w:rsid w:val="07D43242"/>
    <w:rsid w:val="092A7841"/>
    <w:rsid w:val="0C164CD0"/>
    <w:rsid w:val="0C3B3CAC"/>
    <w:rsid w:val="0CBB0A86"/>
    <w:rsid w:val="0DFC128B"/>
    <w:rsid w:val="0E723260"/>
    <w:rsid w:val="0F2B3F4A"/>
    <w:rsid w:val="10445051"/>
    <w:rsid w:val="10EB0CDB"/>
    <w:rsid w:val="180027B8"/>
    <w:rsid w:val="188D5C8D"/>
    <w:rsid w:val="1BD14729"/>
    <w:rsid w:val="1DD2718E"/>
    <w:rsid w:val="1E373197"/>
    <w:rsid w:val="22862C45"/>
    <w:rsid w:val="22872D82"/>
    <w:rsid w:val="235C1B8F"/>
    <w:rsid w:val="25A747EA"/>
    <w:rsid w:val="25D47712"/>
    <w:rsid w:val="297F79AC"/>
    <w:rsid w:val="2B57030E"/>
    <w:rsid w:val="2CA029D2"/>
    <w:rsid w:val="2D984A6E"/>
    <w:rsid w:val="2E5D000F"/>
    <w:rsid w:val="2F516E50"/>
    <w:rsid w:val="304B16A4"/>
    <w:rsid w:val="33960C90"/>
    <w:rsid w:val="33E73FCA"/>
    <w:rsid w:val="35763B19"/>
    <w:rsid w:val="363C74FB"/>
    <w:rsid w:val="3DEA7834"/>
    <w:rsid w:val="3EBE1AE7"/>
    <w:rsid w:val="3F902B73"/>
    <w:rsid w:val="3FD43741"/>
    <w:rsid w:val="40A36B96"/>
    <w:rsid w:val="40A43A7A"/>
    <w:rsid w:val="41A110C8"/>
    <w:rsid w:val="42A46972"/>
    <w:rsid w:val="446E223C"/>
    <w:rsid w:val="458849FA"/>
    <w:rsid w:val="469B1D06"/>
    <w:rsid w:val="48592982"/>
    <w:rsid w:val="48DB63EC"/>
    <w:rsid w:val="4BA03D4C"/>
    <w:rsid w:val="51A8691D"/>
    <w:rsid w:val="5377246C"/>
    <w:rsid w:val="54BF5980"/>
    <w:rsid w:val="5538526F"/>
    <w:rsid w:val="58724202"/>
    <w:rsid w:val="59A13B69"/>
    <w:rsid w:val="5A054834"/>
    <w:rsid w:val="5B7C3882"/>
    <w:rsid w:val="5E10055F"/>
    <w:rsid w:val="5EC82797"/>
    <w:rsid w:val="5FE57111"/>
    <w:rsid w:val="6214265B"/>
    <w:rsid w:val="63EC46EE"/>
    <w:rsid w:val="64A46087"/>
    <w:rsid w:val="65541EDA"/>
    <w:rsid w:val="68F12525"/>
    <w:rsid w:val="6D2A6B03"/>
    <w:rsid w:val="6E4D564A"/>
    <w:rsid w:val="6F175189"/>
    <w:rsid w:val="6FCB03C8"/>
    <w:rsid w:val="70AF3212"/>
    <w:rsid w:val="720B547C"/>
    <w:rsid w:val="74906BB5"/>
    <w:rsid w:val="77DF0B95"/>
    <w:rsid w:val="77E0214F"/>
    <w:rsid w:val="78707B3D"/>
    <w:rsid w:val="7A4D4CB7"/>
    <w:rsid w:val="7CC34878"/>
    <w:rsid w:val="7CE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F37BD-D0E6-46C3-8C8E-53466994A3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712</Characters>
  <Lines>5</Lines>
  <Paragraphs>1</Paragraphs>
  <TotalTime>94</TotalTime>
  <ScaleCrop>false</ScaleCrop>
  <LinksUpToDate>false</LinksUpToDate>
  <CharactersWithSpaces>835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2020-06-20T02:23:00Z</dcterms:created>
  <dc:creator>Administrator</dc:creator>
  <cp:lastModifiedBy>方路线-PC</cp:lastModifiedBy>
  <cp:lastPrinted>2020-06-17T07:28:00Z</cp:lastPrinted>
  <dcterms:modified xsi:type="dcterms:W3CDTF">2022-03-18T13:33:16Z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