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40" w:lineRule="exact"/>
        <w:ind w:left="354" w:right="491"/>
        <w:jc w:val="center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武汉工程科技学院202</w:t>
      </w:r>
      <w:r>
        <w:rPr>
          <w:rFonts w:ascii="黑体" w:hAnsi="黑体" w:eastAsia="黑体" w:cs="黑体"/>
          <w:b w:val="0"/>
          <w:bCs w:val="0"/>
        </w:rPr>
        <w:t>3</w:t>
      </w:r>
      <w:r>
        <w:rPr>
          <w:rFonts w:hint="eastAsia" w:ascii="黑体" w:hAnsi="黑体" w:eastAsia="黑体" w:cs="黑体"/>
          <w:b w:val="0"/>
          <w:bCs w:val="0"/>
        </w:rPr>
        <w:t>年普通专升本入学考试</w:t>
      </w:r>
    </w:p>
    <w:p>
      <w:pPr>
        <w:pStyle w:val="2"/>
        <w:spacing w:before="0" w:line="440" w:lineRule="exact"/>
        <w:ind w:left="354" w:right="491"/>
        <w:jc w:val="center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《学前教育学》课程考试大纲</w:t>
      </w:r>
    </w:p>
    <w:p>
      <w:pPr>
        <w:spacing w:before="312" w:beforeLines="100" w:line="440" w:lineRule="exact"/>
        <w:ind w:right="142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一、适用对象</w:t>
      </w:r>
    </w:p>
    <w:p>
      <w:pPr>
        <w:spacing w:line="440" w:lineRule="exact"/>
        <w:ind w:right="141" w:firstLine="492" w:firstLineChars="200"/>
        <w:rPr>
          <w:rFonts w:ascii="宋体" w:hAnsi="宋体" w:eastAsia="宋体" w:cs="宋体"/>
          <w:spacing w:val="-16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本大纲适用于报考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ascii="宋体" w:hAnsi="宋体" w:eastAsia="宋体" w:cs="宋体"/>
          <w:sz w:val="24"/>
          <w:szCs w:val="24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武汉工程科技学院普通专升本</w:t>
      </w:r>
      <w:r>
        <w:rPr>
          <w:rFonts w:hint="eastAsia" w:ascii="宋体" w:hAnsi="宋体" w:eastAsia="宋体" w:cs="宋体"/>
          <w:sz w:val="24"/>
          <w:szCs w:val="24"/>
        </w:rPr>
        <w:t>学前教育</w:t>
      </w:r>
      <w:r>
        <w:rPr>
          <w:rFonts w:hint="eastAsia" w:ascii="宋体" w:hAnsi="宋体" w:eastAsia="宋体" w:cs="宋体"/>
          <w:spacing w:val="-16"/>
          <w:sz w:val="24"/>
          <w:szCs w:val="24"/>
        </w:rPr>
        <w:t>专业的考生。</w:t>
      </w:r>
    </w:p>
    <w:p>
      <w:pPr>
        <w:spacing w:line="440" w:lineRule="exact"/>
        <w:ind w:right="141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二、考试目的</w:t>
      </w:r>
    </w:p>
    <w:p>
      <w:pPr>
        <w:spacing w:line="44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考试主要是测试考生对学前教育专业理论的掌握情况，了解学生的儿童观与教育观，以及将来从事学前教育工作的能力和素养。其中，主要测试学生对学前教育的基本内涵、学前教育的目标、学前儿童的全面发展教育、学前课程、学前教育活动、学前儿童游戏、幼儿园环境、学前教育衔接等内容的理解与掌握情况。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b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三、考试形式及考试时间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考试形式：笔试闭卷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2.考试时间：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90</w:t>
      </w:r>
      <w:r>
        <w:rPr>
          <w:rFonts w:hint="eastAsia" w:ascii="宋体" w:hAnsi="宋体" w:eastAsia="宋体" w:cs="宋体"/>
          <w:sz w:val="24"/>
          <w:szCs w:val="24"/>
        </w:rPr>
        <w:t>分钟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3.满分：100 分</w:t>
      </w:r>
    </w:p>
    <w:p>
      <w:pPr>
        <w:spacing w:line="440" w:lineRule="exact"/>
        <w:ind w:right="141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四、考试题型结构及分值</w:t>
      </w:r>
    </w:p>
    <w:p>
      <w:pPr>
        <w:spacing w:line="440" w:lineRule="exact"/>
        <w:ind w:right="141" w:firstLine="432" w:firstLineChars="200"/>
        <w:jc w:val="both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1.单选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题（共10小题，每小题2分，共计20分）</w:t>
      </w:r>
    </w:p>
    <w:p>
      <w:pPr>
        <w:spacing w:line="440" w:lineRule="exact"/>
        <w:ind w:left="440" w:leftChars="200" w:right="141"/>
        <w:jc w:val="both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填空题（共5小题，每小题2分，共计10分）</w:t>
      </w:r>
    </w:p>
    <w:p>
      <w:pPr>
        <w:spacing w:line="440" w:lineRule="exact"/>
        <w:ind w:left="440" w:leftChars="200" w:right="141"/>
        <w:jc w:val="both"/>
        <w:rPr>
          <w:rFonts w:ascii="宋体" w:hAnsi="宋体" w:eastAsia="宋体" w:cs="宋体"/>
          <w:spacing w:val="-1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12"/>
          <w:sz w:val="24"/>
          <w:szCs w:val="24"/>
        </w:rPr>
        <w:t>3.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名词解释（共5小题，每小题4分，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共计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20分）</w:t>
      </w:r>
    </w:p>
    <w:p>
      <w:pPr>
        <w:spacing w:line="440" w:lineRule="exact"/>
        <w:ind w:right="141" w:firstLine="432" w:firstLineChars="200"/>
        <w:jc w:val="both"/>
        <w:rPr>
          <w:rFonts w:ascii="宋体" w:hAnsi="宋体" w:eastAsia="宋体" w:cs="宋体"/>
          <w:spacing w:val="-1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4.简答题（共5小题，每小题6分，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共计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30分）</w:t>
      </w:r>
    </w:p>
    <w:p>
      <w:pPr>
        <w:spacing w:line="440" w:lineRule="exact"/>
        <w:ind w:right="141" w:firstLine="432" w:firstLineChars="200"/>
        <w:jc w:val="both"/>
        <w:rPr>
          <w:rFonts w:ascii="宋体" w:hAnsi="宋体" w:eastAsia="宋体" w:cs="宋体"/>
          <w:spacing w:val="-1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5.案例分析（共2小题，每小题10分，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共计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20分）</w:t>
      </w:r>
    </w:p>
    <w:p>
      <w:pPr>
        <w:pStyle w:val="3"/>
        <w:spacing w:line="440" w:lineRule="exact"/>
        <w:ind w:left="0" w:firstLine="482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五、考试内容及要求</w:t>
      </w:r>
    </w:p>
    <w:p>
      <w:pPr>
        <w:pStyle w:val="4"/>
        <w:spacing w:line="440" w:lineRule="exact"/>
        <w:ind w:right="231" w:firstLine="45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本课程考核要求分为“了解”、“理解”、“掌握”三个层次。“了解”是指学生对要求了解的内容，能解释有关的概念、知识的含义，并能正确认识和表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述。“理解”是在了解的基础上，能全面把握基本概念、基本原理、基本方法，能记忆有关内容。“掌握”是在理解的基础上，能运用基本概念、基本原理、基本方法，分析</w:t>
      </w:r>
      <w:r>
        <w:rPr>
          <w:rFonts w:hint="eastAsia" w:ascii="宋体" w:hAnsi="宋体" w:eastAsia="宋体" w:cs="宋体"/>
          <w:sz w:val="24"/>
          <w:szCs w:val="24"/>
        </w:rPr>
        <w:t>和解决有关的理论问题和实际问题。</w:t>
      </w:r>
    </w:p>
    <w:p>
      <w:pPr>
        <w:pStyle w:val="3"/>
        <w:spacing w:line="440" w:lineRule="exact"/>
        <w:ind w:left="0" w:firstLine="482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1.</w:t>
      </w:r>
      <w:r>
        <w:rPr>
          <w:rFonts w:hint="eastAsia"/>
          <w:sz w:val="24"/>
          <w:szCs w:val="24"/>
        </w:rPr>
        <w:t>学前教育学导论</w:t>
      </w:r>
    </w:p>
    <w:p>
      <w:pPr>
        <w:pStyle w:val="4"/>
        <w:spacing w:line="440" w:lineRule="exact"/>
        <w:ind w:right="2585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了解学前教育学的演变。</w:t>
      </w:r>
    </w:p>
    <w:p>
      <w:pPr>
        <w:pStyle w:val="4"/>
        <w:spacing w:line="440" w:lineRule="exact"/>
        <w:ind w:right="2585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理解学前教育的重要性、概念、主要内容、任务。</w:t>
      </w:r>
    </w:p>
    <w:p>
      <w:pPr>
        <w:pStyle w:val="4"/>
        <w:spacing w:line="440" w:lineRule="exact"/>
        <w:ind w:right="2585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掌握学前教育的概念、种类、特点。</w:t>
      </w:r>
    </w:p>
    <w:p>
      <w:pPr>
        <w:spacing w:line="440" w:lineRule="exact"/>
        <w:ind w:firstLine="472" w:firstLineChars="196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2.学前教育学的基础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了解社会发展与学前教育的关系，包括社会经济发展、政治和文化、科学发展及家庭、社区和人口等方面与学前教育的关系。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理解基于早期儿童身心发展需求的学前教育原则。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掌握影响儿童发展的因素、早期儿童的身心发展特点。</w:t>
      </w:r>
    </w:p>
    <w:p>
      <w:pPr>
        <w:spacing w:line="440" w:lineRule="exact"/>
        <w:ind w:firstLine="472" w:firstLineChars="196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3.学前儿童与教师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了解儿童观现代化的途径、教师职业的专业化。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理解儿童观的形态及演变，理解幼儿教师的角色演变、幼儿教师专业发展的过程和阶段；理解师幼关系的转变。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儿童观的概念、价值取向、现代儿童观的内涵；掌握幼儿教师的含义、现代幼儿教师的角色、幼儿教师专业化的内涵及专业成长的途径；掌握师幼关系的概念及发生条件、优质师幼关系的特征以及优质师幼关系的培育策略。</w:t>
      </w:r>
    </w:p>
    <w:p>
      <w:pPr>
        <w:spacing w:line="440" w:lineRule="exact"/>
        <w:ind w:firstLine="472" w:firstLineChars="196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4.学前教育的目标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了解学前教育目标的价值取向、我国学前教育的目标（托儿所教育目标、幼儿园教育目标）。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理解教育目的与教育目标的区别与联系，学前教育目标的分类、功能。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掌握学前教育目标的概念、制定学前教育目标的依据、我国幼儿园教育目标的特点。</w:t>
      </w:r>
    </w:p>
    <w:p>
      <w:pPr>
        <w:spacing w:line="440" w:lineRule="exact"/>
        <w:ind w:firstLine="472" w:firstLineChars="196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5.学前儿童的全面发展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学前儿童身体发展特点及体育的目标与内容；了解学前儿童智能的发展与多元智能理论；了解学前儿童德育的历史、学前社会教育与德育的关系、学前儿童道德发展的过程与特点；了解学前儿童美育的意义、学前儿童的审美心理及美感发展的特点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理解学前儿童体育、智育、美育的意义；理解学前儿童社会性发展的内涵。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学前儿童体育的概念、学前儿童体育的实施（学前儿童体育活动的基本特点、指导原则）；掌握学前儿童智育的概念、内容、培养途径和应注意的问题；掌握学前儿童德育的概念、学前儿童道德教育的实施（内容、特点、原则、方式）；掌握学前儿童美育的概念、学前儿童美感的培养途径和应注意的问题。</w:t>
      </w:r>
    </w:p>
    <w:p>
      <w:pPr>
        <w:spacing w:line="440" w:lineRule="exact"/>
        <w:ind w:firstLine="472" w:firstLineChars="196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6.学前课程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了解百年来我国学前课程变革的基本历程与特点、我国学前课程变革中的课程形态。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掌握学前课程的概念及特点，掌握学前课程的五种主要模式（活动课程模式、幼稚园行为课程模式、蒙台梭利课程模式、海伊斯科普课程模式、瑞吉欧学前教育体系）。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7．学前教育活动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了解学前教育活动的相关理论、不同类型学前教育活动设计的基本规范；了解学前教育活动评价的意义、要素、原则及方法。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理解活动的含义、学前教育活动的类型、特点；理解学前教育活动设计的本质特点、原则。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掌握学前教育活动的含义、基本要素及活动设计的基本环节。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8.学前儿童游戏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了解学前儿童游戏指导的意义、原则，以及幼儿园中玩具的配备与选择。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理解学前儿童游戏的分类与发展价值；理解学前儿童游戏的主要理论（经典游戏理论、当代游戏理论）；理解幼儿游戏指导的策略、学前儿童游戏中玩具的作用及玩具的种类。</w:t>
      </w:r>
    </w:p>
    <w:p>
      <w:pPr>
        <w:spacing w:line="44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掌握游戏的概念、学前儿童游戏的特征。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9.幼儿园环境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了解幼儿园环境的分类与维度；了解幼儿园室内学习环境的创设、墙面环境、幼儿园的设施与设备。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理解幼儿园环境、心理环境的重要性。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掌握幼儿园环境、幼儿园物质环境、幼儿园心理环境的概念，掌握幼儿园物质环境创设的原则及幼儿园心理环境的主要内容。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10.学前教育衔接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了解家庭及家庭教育的含义、社区及社会教育的含义。</w:t>
      </w:r>
    </w:p>
    <w:p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理解幼儿园与社会合作的意义、幼儿园与小学的差异。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掌握家庭教育的特点、幼儿园与家庭的合作与衔接；掌握幼儿园与社会合作的方式；掌握幼小衔接的重要性、幼小衔接的原则和方法。</w:t>
      </w:r>
    </w:p>
    <w:p>
      <w:pPr>
        <w:pStyle w:val="14"/>
        <w:tabs>
          <w:tab w:val="left" w:pos="841"/>
        </w:tabs>
        <w:spacing w:before="0" w:line="440" w:lineRule="exact"/>
        <w:ind w:left="0" w:right="5854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六、参考教材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《学前教育学》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ISBN：</w:t>
      </w:r>
      <w:r>
        <w:rPr>
          <w:rFonts w:ascii="宋体" w:hAnsi="宋体" w:eastAsia="宋体" w:cs="宋体"/>
          <w:sz w:val="24"/>
          <w:szCs w:val="24"/>
        </w:rPr>
        <w:t>9787040312447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作者：虞永平、王春燕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出版社: 高等教育出版社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出版时间：</w:t>
      </w:r>
      <w:r>
        <w:rPr>
          <w:rFonts w:ascii="宋体" w:hAnsi="宋体" w:eastAsia="宋体" w:cs="宋体"/>
          <w:sz w:val="24"/>
          <w:szCs w:val="24"/>
        </w:rPr>
        <w:t>2012年07月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2YjIzOGM2ZWQyNzY2MDc4NWIzM2UzNDlhYjYwZTAifQ=="/>
  </w:docVars>
  <w:rsids>
    <w:rsidRoot w:val="004E12D1"/>
    <w:rsid w:val="00015C8D"/>
    <w:rsid w:val="0002372A"/>
    <w:rsid w:val="001B4A58"/>
    <w:rsid w:val="001C5E81"/>
    <w:rsid w:val="00201122"/>
    <w:rsid w:val="00202AE2"/>
    <w:rsid w:val="00211C9D"/>
    <w:rsid w:val="00235B84"/>
    <w:rsid w:val="00254C95"/>
    <w:rsid w:val="00263CF0"/>
    <w:rsid w:val="002764B2"/>
    <w:rsid w:val="00323BC6"/>
    <w:rsid w:val="00344397"/>
    <w:rsid w:val="003664F2"/>
    <w:rsid w:val="00391958"/>
    <w:rsid w:val="003A1347"/>
    <w:rsid w:val="003C67FA"/>
    <w:rsid w:val="003F33CA"/>
    <w:rsid w:val="00402642"/>
    <w:rsid w:val="004424A9"/>
    <w:rsid w:val="004770C7"/>
    <w:rsid w:val="00485C0F"/>
    <w:rsid w:val="004B7957"/>
    <w:rsid w:val="004C0B54"/>
    <w:rsid w:val="004D7C3A"/>
    <w:rsid w:val="004E12D1"/>
    <w:rsid w:val="0065350A"/>
    <w:rsid w:val="006D79D3"/>
    <w:rsid w:val="007C12CD"/>
    <w:rsid w:val="008145AC"/>
    <w:rsid w:val="00843C08"/>
    <w:rsid w:val="00881133"/>
    <w:rsid w:val="008F1BF5"/>
    <w:rsid w:val="009619FF"/>
    <w:rsid w:val="00A15236"/>
    <w:rsid w:val="00A60FE8"/>
    <w:rsid w:val="00B364E0"/>
    <w:rsid w:val="00BA2245"/>
    <w:rsid w:val="00CE29B6"/>
    <w:rsid w:val="00CE34AF"/>
    <w:rsid w:val="00CF004D"/>
    <w:rsid w:val="00D45859"/>
    <w:rsid w:val="00D740A8"/>
    <w:rsid w:val="00DB4273"/>
    <w:rsid w:val="00E151E9"/>
    <w:rsid w:val="00ED76D2"/>
    <w:rsid w:val="00F02457"/>
    <w:rsid w:val="00F34574"/>
    <w:rsid w:val="00F34976"/>
    <w:rsid w:val="00F35E30"/>
    <w:rsid w:val="00F42D2A"/>
    <w:rsid w:val="00F82824"/>
    <w:rsid w:val="00FB49C1"/>
    <w:rsid w:val="00FC3E3F"/>
    <w:rsid w:val="00FD32C7"/>
    <w:rsid w:val="00FF2960"/>
    <w:rsid w:val="07B43EFD"/>
    <w:rsid w:val="0F0D207C"/>
    <w:rsid w:val="29F85102"/>
    <w:rsid w:val="328E165D"/>
    <w:rsid w:val="6B1C7A3C"/>
    <w:rsid w:val="6CEF7271"/>
    <w:rsid w:val="6DA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spacing w:before="29"/>
      <w:ind w:left="12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link w:val="12"/>
    <w:qFormat/>
    <w:uiPriority w:val="1"/>
    <w:pPr>
      <w:ind w:left="679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rPr>
      <w:sz w:val="28"/>
      <w:szCs w:val="2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12">
    <w:name w:val="标题 2 字符"/>
    <w:basedOn w:val="8"/>
    <w:link w:val="3"/>
    <w:qFormat/>
    <w:uiPriority w:val="1"/>
    <w:rPr>
      <w:rFonts w:ascii="宋体" w:hAnsi="宋体" w:eastAsia="宋体" w:cs="宋体"/>
      <w:b/>
      <w:bCs/>
      <w:kern w:val="0"/>
      <w:sz w:val="28"/>
      <w:szCs w:val="28"/>
      <w:lang w:val="zh-CN" w:bidi="zh-CN"/>
    </w:rPr>
  </w:style>
  <w:style w:type="character" w:customStyle="1" w:styleId="13">
    <w:name w:val="正文文本 字符"/>
    <w:basedOn w:val="8"/>
    <w:link w:val="4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14">
    <w:name w:val="List Paragraph"/>
    <w:basedOn w:val="1"/>
    <w:qFormat/>
    <w:uiPriority w:val="1"/>
    <w:pPr>
      <w:spacing w:before="132"/>
      <w:ind w:left="120" w:hanging="24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1960</Words>
  <Characters>2018</Characters>
  <Lines>14</Lines>
  <Paragraphs>4</Paragraphs>
  <TotalTime>0</TotalTime>
  <ScaleCrop>false</ScaleCrop>
  <LinksUpToDate>false</LinksUpToDate>
  <CharactersWithSpaces>2040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2023-03-06T06:36:00Z</dcterms:created>
  <dc:creator>PC</dc:creator>
  <cp:lastModifiedBy>霞霞</cp:lastModifiedBy>
  <dcterms:modified xsi:type="dcterms:W3CDTF">2023-03-15T02:50:08Z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1512DF9A53CC4D0C986ED7C78C1AA953</vt:lpwstr>
  </property>
</Properties>
</file>